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RELATÓRIO TÉCNICO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VALORAÇÃO DO DANO AMBIENTAL</w:t>
      </w:r>
    </w:p>
    <w:p w:rsidR="00000000" w:rsidDel="00000000" w:rsidP="00000000" w:rsidRDefault="00000000" w:rsidRPr="00000000" w14:paraId="00000003">
      <w:pPr>
        <w:widowControl w:val="0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PROC. N. </w:t>
      </w:r>
      <w:r w:rsidDel="00000000" w:rsidR="00000000" w:rsidRPr="00000000">
        <w:rPr>
          <w:b w:val="1"/>
          <w:rtl w:val="0"/>
        </w:rPr>
        <w:t xml:space="preserve">{{SIMP}}</w:t>
      </w:r>
    </w:p>
    <w:p w:rsidR="00000000" w:rsidDel="00000000" w:rsidP="00000000" w:rsidRDefault="00000000" w:rsidRPr="00000000" w14:paraId="00000005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REQUERIDO: </w:t>
      </w:r>
      <w:r w:rsidDel="00000000" w:rsidR="00000000" w:rsidRPr="00000000">
        <w:rPr>
          <w:b w:val="1"/>
          <w:rtl w:val="0"/>
        </w:rPr>
        <w:t xml:space="preserve">{{REQUERIDOS}}</w:t>
      </w:r>
    </w:p>
    <w:p w:rsidR="00000000" w:rsidDel="00000000" w:rsidP="00000000" w:rsidRDefault="00000000" w:rsidRPr="00000000" w14:paraId="00000006">
      <w:pPr>
        <w:widowControl w:val="0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200" w:line="360" w:lineRule="auto"/>
        <w:ind w:firstLine="226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Trata-se de valoração do dano material obtida por meio da metodologia descrita na obra </w:t>
      </w:r>
      <w:r w:rsidDel="00000000" w:rsidR="00000000" w:rsidRPr="00000000">
        <w:rPr>
          <w:i w:val="1"/>
          <w:sz w:val="24"/>
          <w:szCs w:val="24"/>
          <w:rtl w:val="0"/>
        </w:rPr>
        <w:t xml:space="preserve">Valoração do Dano Ambiental: Casos Aplicados ao Estado de Mato Grosso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i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desenvolvida pela  da Procuradoria de Justiça Especializada em Defesa Ambiental e Ordem Urbanística do Ministério Público do Estado de Mato Grosso (PJEDAOU) para fundamentar a atuação ministerial dos Promotores de Justiça de Meio Ambiente do Estado de Mato Grosso, estando devidamente detalhada no</w:t>
      </w:r>
      <w:r w:rsidDel="00000000" w:rsidR="00000000" w:rsidRPr="00000000">
        <w:rPr>
          <w:b w:val="1"/>
          <w:sz w:val="24"/>
          <w:szCs w:val="24"/>
          <w:rtl w:val="0"/>
        </w:rPr>
        <w:t xml:space="preserve"> Anexo I</w:t>
      </w:r>
      <w:r w:rsidDel="00000000" w:rsidR="00000000" w:rsidRPr="00000000">
        <w:rPr>
          <w:sz w:val="24"/>
          <w:szCs w:val="24"/>
          <w:rtl w:val="0"/>
        </w:rPr>
        <w:t xml:space="preserve"> ao presente (Seção “Desflorestamentos Irregulares” da referida obra).</w:t>
      </w:r>
    </w:p>
    <w:p w:rsidR="00000000" w:rsidDel="00000000" w:rsidP="00000000" w:rsidRDefault="00000000" w:rsidRPr="00000000" w14:paraId="00000008">
      <w:pPr>
        <w:widowControl w:val="0"/>
        <w:spacing w:after="200" w:line="360" w:lineRule="auto"/>
        <w:ind w:firstLine="226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valoração dos danos ambientais extrapatrimoniais baseia-se na proposta inicial de Gonzaga e Roquette (2020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1"/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9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Utilizaram-se os seguintes critérios: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3"/>
        </w:numPr>
        <w:spacing w:after="0" w:afterAutospacing="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dano material: cálculo do dano material pelos métodos CATE e VCP;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3"/>
        </w:numPr>
        <w:spacing w:after="20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dano extrapatrimonial: {{nome_metodo_extrapatrimonial}}</w:t>
      </w:r>
    </w:p>
    <w:p w:rsidR="00000000" w:rsidDel="00000000" w:rsidP="00000000" w:rsidRDefault="00000000" w:rsidRPr="00000000" w14:paraId="0000000C">
      <w:pPr>
        <w:widowControl w:val="0"/>
        <w:spacing w:after="200" w:line="360" w:lineRule="auto"/>
        <w:ind w:left="0" w:firstLine="2267.716535433071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características do desflorestamento ilegal são: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total destruída igual a 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{{AREA_DESMATADA_TOTAL}}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Área insuscetível (APP e ARL) desmatada: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{{AREA_DESMATADA_INSUSC}}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Área suscetível, porém desmatada ilegalmente: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{{AREA_DESMATADA_SUSC}}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hectares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{{fitofisionomia}};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1"/>
        </w:numPr>
        <w:spacing w:after="0" w:afterAutospacing="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{{estagio_sucessional_selec}};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{{fator_calibracao}};</w:t>
      </w:r>
    </w:p>
    <w:p w:rsidR="00000000" w:rsidDel="00000000" w:rsidP="00000000" w:rsidRDefault="00000000" w:rsidRPr="00000000" w14:paraId="00000013">
      <w:pPr>
        <w:widowControl w:val="0"/>
        <w:spacing w:after="200" w:line="360" w:lineRule="auto"/>
        <w:ind w:left="0" w:firstLine="2267.716535433071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{{circunstancias_dano}}.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before="200"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CONCLUSÃO</w:t>
      </w:r>
    </w:p>
    <w:p w:rsidR="00000000" w:rsidDel="00000000" w:rsidP="00000000" w:rsidRDefault="00000000" w:rsidRPr="00000000" w14:paraId="00000015">
      <w:pPr>
        <w:widowControl w:val="0"/>
        <w:spacing w:after="200" w:line="360" w:lineRule="auto"/>
        <w:ind w:firstLine="2267.7165354330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Realizados os cálculos indicados na referida obra técnica, para os danos materiais, obtiveram-se os seguintes valores:</w:t>
      </w:r>
    </w:p>
    <w:p w:rsidR="00000000" w:rsidDel="00000000" w:rsidP="00000000" w:rsidRDefault="00000000" w:rsidRPr="00000000" w14:paraId="00000016">
      <w:pPr>
        <w:widowControl w:val="0"/>
        <w:spacing w:after="200" w:line="360" w:lineRule="auto"/>
        <w:ind w:firstLine="2267.7165354330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DANOS MATERIAIS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2"/>
        </w:numPr>
        <w:spacing w:after="0" w:afterAutospacing="0"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Em APP, ARL ou áreas de uso restrito:</w:t>
      </w:r>
    </w:p>
    <w:p w:rsidR="00000000" w:rsidDel="00000000" w:rsidP="00000000" w:rsidRDefault="00000000" w:rsidRPr="00000000" w14:paraId="00000018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 Método CATE: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</w:t>
      </w:r>
      <w:r w:rsidDel="00000000" w:rsidR="00000000" w:rsidRPr="00000000">
        <w:rPr>
          <w:sz w:val="24"/>
          <w:szCs w:val="24"/>
          <w:rtl w:val="0"/>
        </w:rPr>
        <w:t xml:space="preserve">{{valor_cate}} </w:t>
      </w:r>
      <w:r w:rsidDel="00000000" w:rsidR="00000000" w:rsidRPr="00000000">
        <w:rPr>
          <w:b w:val="1"/>
          <w:sz w:val="24"/>
          <w:szCs w:val="24"/>
          <w:rtl w:val="0"/>
        </w:rPr>
        <w:t xml:space="preserve">ou</w:t>
      </w:r>
    </w:p>
    <w:p w:rsidR="00000000" w:rsidDel="00000000" w:rsidP="00000000" w:rsidRDefault="00000000" w:rsidRPr="00000000" w14:paraId="00000019">
      <w:pPr>
        <w:widowControl w:val="0"/>
        <w:numPr>
          <w:ilvl w:val="1"/>
          <w:numId w:val="2"/>
        </w:numPr>
        <w:spacing w:after="0" w:afterAutospacing="0" w:line="360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pelo Método VCP:</w:t>
      </w:r>
      <w:r w:rsidDel="00000000" w:rsidR="00000000" w:rsidRPr="00000000">
        <w:rPr>
          <w:b w:val="1"/>
          <w:sz w:val="24"/>
          <w:szCs w:val="24"/>
          <w:rtl w:val="0"/>
        </w:rPr>
        <w:t xml:space="preserve"> R$ {{valor_vcp}}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2"/>
        </w:numPr>
        <w:spacing w:after="200"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 Área passível de desmatamento, porém desmatada de modo ilegal pelo método Custos de Restauração (fora de APP, ARL, etc.): </w:t>
      </w:r>
      <w:r w:rsidDel="00000000" w:rsidR="00000000" w:rsidRPr="00000000">
        <w:rPr>
          <w:b w:val="1"/>
          <w:sz w:val="24"/>
          <w:szCs w:val="24"/>
          <w:rtl w:val="0"/>
        </w:rPr>
        <w:t xml:space="preserve">R$ {{calculo_fora_APP_ARL}}</w:t>
      </w:r>
    </w:p>
    <w:p w:rsidR="00000000" w:rsidDel="00000000" w:rsidP="00000000" w:rsidRDefault="00000000" w:rsidRPr="00000000" w14:paraId="0000001B">
      <w:pPr>
        <w:widowControl w:val="0"/>
        <w:spacing w:after="200" w:line="360" w:lineRule="auto"/>
        <w:ind w:firstLine="2267.7165354330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DANOS EXTRAPATRIMONIAIS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4"/>
        </w:numPr>
        <w:spacing w:after="200"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R$ </w:t>
      </w:r>
      <w:r w:rsidDel="00000000" w:rsidR="00000000" w:rsidRPr="00000000">
        <w:rPr>
          <w:sz w:val="24"/>
          <w:szCs w:val="24"/>
          <w:rtl w:val="0"/>
        </w:rPr>
        <w:t xml:space="preserve">{{valor_dano_extrapatrimonial}}</w:t>
      </w:r>
    </w:p>
    <w:p w:rsidR="00000000" w:rsidDel="00000000" w:rsidP="00000000" w:rsidRDefault="00000000" w:rsidRPr="00000000" w14:paraId="0000001D">
      <w:pPr>
        <w:widowControl w:val="0"/>
        <w:spacing w:after="20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20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5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line="360" w:lineRule="auto"/>
              <w:ind w:left="2267.716535433071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TOTAL (DANOS MATERIAIS E EXTRAPATRIMONIAIS)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CATE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MÉTODO VCP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{{total_cate_3o_metodo_e_extra}}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{{total_vcp_3o_metodo_e_extra}}</w:t>
            </w:r>
          </w:p>
        </w:tc>
      </w:tr>
    </w:tbl>
    <w:p w:rsidR="00000000" w:rsidDel="00000000" w:rsidP="00000000" w:rsidRDefault="00000000" w:rsidRPr="00000000" w14:paraId="00000025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200" w:line="360" w:lineRule="auto"/>
        <w:ind w:left="-30" w:firstLine="2297.71653543307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{{CIDADE}}, {{DATA_HOJE}}.</w:t>
      </w:r>
    </w:p>
    <w:p w:rsidR="00000000" w:rsidDel="00000000" w:rsidP="00000000" w:rsidRDefault="00000000" w:rsidRPr="00000000" w14:paraId="00000028">
      <w:pPr>
        <w:widowControl w:val="0"/>
        <w:spacing w:after="200" w:line="360" w:lineRule="auto"/>
        <w:ind w:hanging="3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{{SUBSCRITOR}}</w:t>
      </w:r>
    </w:p>
    <w:p w:rsidR="00000000" w:rsidDel="00000000" w:rsidP="00000000" w:rsidRDefault="00000000" w:rsidRPr="00000000" w14:paraId="0000002A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{{CARGO_SUBSCRITOR}}</w:t>
      </w:r>
    </w:p>
    <w:p w:rsidR="00000000" w:rsidDel="00000000" w:rsidP="00000000" w:rsidRDefault="00000000" w:rsidRPr="00000000" w14:paraId="0000002B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ind w:hanging="3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7877175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81026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ind w:hanging="3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7">
    <w:pPr>
      <w:jc w:val="right"/>
      <w:rPr>
        <w:color w:val="999999"/>
      </w:rPr>
    </w:pPr>
    <w:r w:rsidDel="00000000" w:rsidR="00000000" w:rsidRPr="00000000">
      <w:rPr>
        <w:color w:val="999999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1">
    <w:p w:rsidR="00000000" w:rsidDel="00000000" w:rsidP="00000000" w:rsidRDefault="00000000" w:rsidRPr="00000000" w14:paraId="0000003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https://consciencia.eco.br/index.php?title=Projeto_Olhos_da_Mata#Valora.C3.A7.C3.A3o_do_Dano_Ambiental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</w:footnote>
  <w:footnote w:id="0">
    <w:p w:rsidR="00000000" w:rsidDel="00000000" w:rsidP="00000000" w:rsidRDefault="00000000" w:rsidRPr="00000000" w14:paraId="0000003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https://pjedaou.mpmt.mp.br/wp-content/uploads/2017/10/VALORACAO_DANO_AMBIENTAL_MT_PJEDAOU-1.pdf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spacing w:line="240" w:lineRule="auto"/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F">
    <w:pPr>
      <w:shd w:fill="ffffff" w:val="clear"/>
      <w:spacing w:line="240" w:lineRule="auto"/>
      <w:rPr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345.0" w:type="dxa"/>
      <w:jc w:val="left"/>
      <w:tblInd w:w="175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275"/>
      <w:gridCol w:w="5070"/>
      <w:tblGridChange w:id="0">
        <w:tblGrid>
          <w:gridCol w:w="4275"/>
          <w:gridCol w:w="5070"/>
        </w:tblGrid>
      </w:tblGridChange>
    </w:tblGrid>
    <w:t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30">
          <w:pPr>
            <w:shd w:fill="ffffff" w:val="clear"/>
            <w:spacing w:line="240" w:lineRule="auto"/>
            <w:rPr>
              <w:sz w:val="24"/>
              <w:szCs w:val="24"/>
            </w:rPr>
          </w:pPr>
          <w:r w:rsidDel="00000000" w:rsidR="00000000" w:rsidRPr="00000000">
            <w:rPr/>
            <w:drawing>
              <wp:inline distB="114300" distT="114300" distL="114300" distR="114300">
                <wp:extent cx="2581275" cy="1092200"/>
                <wp:effectExtent b="0" l="0" r="0" t="0"/>
                <wp:docPr id="1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1275" cy="1092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31">
          <w:pPr>
            <w:shd w:fill="ffffff" w:val="clear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sz w:val="28"/>
              <w:szCs w:val="28"/>
              <w:rtl w:val="0"/>
            </w:rPr>
            <w:t xml:space="preserve">{{ORGAO_EXECUCAO}}</w:t>
          </w:r>
        </w:p>
        <w:p w:rsidR="00000000" w:rsidDel="00000000" w:rsidP="00000000" w:rsidRDefault="00000000" w:rsidRPr="00000000" w14:paraId="00000034">
          <w:pPr>
            <w:shd w:fill="ffffff" w:val="clear"/>
            <w:spacing w:line="240" w:lineRule="auto"/>
            <w:jc w:val="center"/>
            <w:rPr>
              <w:sz w:val="24"/>
              <w:szCs w:val="24"/>
            </w:rPr>
          </w:pPr>
          <w:r w:rsidDel="00000000" w:rsidR="00000000" w:rsidRPr="00000000">
            <w:rPr>
              <w:sz w:val="24"/>
              <w:szCs w:val="24"/>
              <w:rtl w:val="0"/>
            </w:rPr>
            <w:t xml:space="preserve">{{ORGAO_ENDERECO}}</w:t>
          </w:r>
        </w:p>
        <w:p w:rsidR="00000000" w:rsidDel="00000000" w:rsidP="00000000" w:rsidRDefault="00000000" w:rsidRPr="00000000" w14:paraId="00000035">
          <w:pPr>
            <w:shd w:fill="ffffff" w:val="clear"/>
            <w:spacing w:line="240" w:lineRule="auto"/>
            <w:jc w:val="center"/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36">
    <w:pPr>
      <w:spacing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jpg"/><Relationship Id="rId22" Type="http://schemas.openxmlformats.org/officeDocument/2006/relationships/image" Target="media/image9.jpg"/><Relationship Id="rId21" Type="http://schemas.openxmlformats.org/officeDocument/2006/relationships/image" Target="media/image18.jpg"/><Relationship Id="rId24" Type="http://schemas.openxmlformats.org/officeDocument/2006/relationships/image" Target="media/image1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0.jp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4.jpg"/><Relationship Id="rId8" Type="http://schemas.openxmlformats.org/officeDocument/2006/relationships/image" Target="media/image15.jpg"/><Relationship Id="rId11" Type="http://schemas.openxmlformats.org/officeDocument/2006/relationships/image" Target="media/image13.jpg"/><Relationship Id="rId10" Type="http://schemas.openxmlformats.org/officeDocument/2006/relationships/image" Target="media/image11.jpg"/><Relationship Id="rId13" Type="http://schemas.openxmlformats.org/officeDocument/2006/relationships/image" Target="media/image17.jpg"/><Relationship Id="rId12" Type="http://schemas.openxmlformats.org/officeDocument/2006/relationships/image" Target="media/image4.jpg"/><Relationship Id="rId15" Type="http://schemas.openxmlformats.org/officeDocument/2006/relationships/image" Target="media/image5.jpg"/><Relationship Id="rId14" Type="http://schemas.openxmlformats.org/officeDocument/2006/relationships/image" Target="media/image8.jpg"/><Relationship Id="rId17" Type="http://schemas.openxmlformats.org/officeDocument/2006/relationships/image" Target="media/image12.jpg"/><Relationship Id="rId16" Type="http://schemas.openxmlformats.org/officeDocument/2006/relationships/image" Target="media/image16.jpg"/><Relationship Id="rId19" Type="http://schemas.openxmlformats.org/officeDocument/2006/relationships/image" Target="media/image2.jpg"/><Relationship Id="rId18" Type="http://schemas.openxmlformats.org/officeDocument/2006/relationships/image" Target="media/image7.jpg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consciencia.eco.br/index.php?title=Projeto_Olhos_da_Mata#Valora.C3.A7.C3.A3o_do_Dano_Ambiental" TargetMode="External"/><Relationship Id="rId2" Type="http://schemas.openxmlformats.org/officeDocument/2006/relationships/hyperlink" Target="https://pjedaou.mpmt.mp.br/wp-content/uploads/2017/10/VALORACAO_DANO_AMBIENTAL_MT_PJEDAOU-1.pdf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